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lang w:val="en-GB"/>
        </w:rPr>
      </w:pPr>
      <w:r>
        <w:rPr>
          <w:lang w:val="en-GB"/>
        </w:rPr>
        <w:t>ITS-Directive Priority Action (A)</w:t>
      </w:r>
    </w:p>
    <w:p>
      <w:pPr>
        <w:jc w:val="center"/>
        <w:rPr>
          <w:lang w:val="en-GB"/>
        </w:rPr>
      </w:pPr>
    </w:p>
    <w:p>
      <w:pPr>
        <w:rPr>
          <w:lang w:val="en-GB"/>
        </w:rPr>
      </w:pPr>
      <w:r>
        <w:rPr>
          <w:lang w:val="en-GB"/>
        </w:rPr>
        <w:t>Observations regarding the possible mandating of standards</w:t>
      </w:r>
    </w:p>
    <w:p>
      <w:pPr>
        <w:rPr>
          <w:lang w:val="en-GB"/>
        </w:rPr>
      </w:pPr>
    </w:p>
    <w:p>
      <w:pPr>
        <w:rPr>
          <w:lang w:val="en-GB"/>
        </w:rPr>
      </w:pPr>
      <w:r>
        <w:rPr>
          <w:lang w:val="en-GB"/>
        </w:rPr>
        <w:t>Standards are a prerequisite for an efficient development of multimodal data passenger information services. Although the usage of standards does not necessarily allow a plug-and-play connection of systems, they facilitate the exchange of information between partners, to service providers and to the outside world, foster competition and improve the economic basis for investment. To do this, standards need a certain degree of stability and need not necessarily follow the latest IT developments. Instead they should be restricted to a stable set of considerations</w:t>
      </w:r>
      <w:r>
        <w:rPr>
          <w:rStyle w:val="Funotenzeichen"/>
          <w:lang w:val="en-GB"/>
        </w:rPr>
        <w:footnoteReference w:id="1"/>
      </w:r>
      <w:r>
        <w:rPr>
          <w:lang w:val="en-GB"/>
        </w:rPr>
        <w:t>. This does not mean blocking innovation however. DATEX II, as an example, does not at all hinder innovation in sensors or new information services but helps to increase the options in a wider context. The transparent CEN standardisation procedure should make sure that no unfair national or single advantage is sought; standards can only be introduced with solid backing from many stakeholders and from many member states.</w:t>
      </w:r>
    </w:p>
    <w:p>
      <w:pPr>
        <w:rPr>
          <w:lang w:val="en-GB"/>
        </w:rPr>
      </w:pPr>
      <w:r>
        <w:rPr>
          <w:lang w:val="en-GB"/>
        </w:rPr>
        <w:t>Therefor it seems reasonable to consider the mandating of standards also for Spec. A, however taking into account some provisions:</w:t>
      </w:r>
    </w:p>
    <w:p>
      <w:pPr>
        <w:numPr>
          <w:ilvl w:val="0"/>
          <w:numId w:val="2"/>
        </w:numPr>
        <w:rPr>
          <w:lang w:val="en-GB"/>
        </w:rPr>
      </w:pPr>
      <w:r>
        <w:rPr>
          <w:lang w:val="en-GB"/>
        </w:rPr>
        <w:t>In order to protect investments, compliance should be interpreted such that providers don’t necessarily have to apply the latest version</w:t>
      </w:r>
    </w:p>
    <w:p>
      <w:pPr>
        <w:numPr>
          <w:ilvl w:val="0"/>
          <w:numId w:val="2"/>
        </w:numPr>
        <w:rPr>
          <w:lang w:val="en-GB"/>
        </w:rPr>
      </w:pPr>
      <w:r>
        <w:rPr>
          <w:lang w:val="en-GB"/>
        </w:rPr>
        <w:t>Only a subset of a standard might be offered (e.g. through profiling) as long as all relevant data of a provider is included</w:t>
      </w:r>
    </w:p>
    <w:p>
      <w:pPr>
        <w:numPr>
          <w:ilvl w:val="0"/>
          <w:numId w:val="2"/>
        </w:numPr>
        <w:rPr>
          <w:lang w:val="en-GB"/>
        </w:rPr>
      </w:pPr>
      <w:r>
        <w:rPr>
          <w:lang w:val="en-GB"/>
        </w:rPr>
        <w:t xml:space="preserve">Depending on the maturity of standards dates for the coming into force might differ and could later </w:t>
      </w:r>
      <w:bookmarkStart w:id="0" w:name="_GoBack"/>
      <w:bookmarkEnd w:id="0"/>
      <w:r>
        <w:rPr>
          <w:lang w:val="en-GB"/>
        </w:rPr>
        <w:t>be revised by the European Commission.</w:t>
      </w:r>
    </w:p>
    <w:p>
      <w:pPr>
        <w:rPr>
          <w:lang w:val="en-GB"/>
        </w:rPr>
      </w:pPr>
      <w:r>
        <w:rPr>
          <w:lang w:val="en-GB"/>
        </w:rPr>
        <w:t>Further not all data types or standards are suitable at this time. Relevant criteria are:</w:t>
      </w:r>
    </w:p>
    <w:p>
      <w:pPr>
        <w:numPr>
          <w:ilvl w:val="0"/>
          <w:numId w:val="1"/>
        </w:numPr>
        <w:rPr>
          <w:lang w:val="en-GB"/>
        </w:rPr>
      </w:pPr>
      <w:r>
        <w:rPr>
          <w:lang w:val="en-GB"/>
        </w:rPr>
        <w:t>Data should belong to the public domain or at least be in the competence of public bodies (like infrastructure data or data about public regulated services); data from the commercial domain may be included in the Spec. however public bodies should not be held responsible for their offer, delivery and quality control.</w:t>
      </w:r>
    </w:p>
    <w:p>
      <w:pPr>
        <w:numPr>
          <w:ilvl w:val="0"/>
          <w:numId w:val="1"/>
        </w:numPr>
        <w:rPr>
          <w:lang w:val="en-GB"/>
        </w:rPr>
      </w:pPr>
      <w:r>
        <w:rPr>
          <w:lang w:val="en-GB"/>
        </w:rPr>
        <w:t>There should be an adopted CEN – standard accepted in the community, continuously maintained, and for which system solutions are readily available</w:t>
      </w:r>
    </w:p>
    <w:p>
      <w:pPr>
        <w:numPr>
          <w:ilvl w:val="0"/>
          <w:numId w:val="1"/>
        </w:numPr>
        <w:rPr>
          <w:lang w:val="en-GB"/>
        </w:rPr>
      </w:pPr>
      <w:r>
        <w:rPr>
          <w:lang w:val="en-GB"/>
        </w:rPr>
        <w:t xml:space="preserve">The mandating of the standard must not become an exceptional burden to the content providers –neither in terms of cost nor in market position, e.g. if they publication of all real-time-data in SIRI format was to be mandated if this information is shown to the travellers in the vehicle. </w:t>
      </w:r>
    </w:p>
    <w:p>
      <w:pPr>
        <w:rPr>
          <w:u w:val="single"/>
          <w:lang w:val="en-GB"/>
        </w:rPr>
      </w:pPr>
      <w:r>
        <w:rPr>
          <w:u w:val="single"/>
          <w:lang w:val="en-GB"/>
        </w:rPr>
        <w:br w:type="page"/>
      </w:r>
    </w:p>
    <w:p>
      <w:pPr>
        <w:rPr>
          <w:u w:val="single"/>
          <w:lang w:val="en-GB"/>
        </w:rPr>
      </w:pPr>
      <w:r>
        <w:rPr>
          <w:u w:val="single"/>
          <w:lang w:val="en-GB"/>
        </w:rPr>
        <w:lastRenderedPageBreak/>
        <w:t>The following areas/standards seem to be meet these criteria:</w:t>
      </w:r>
    </w:p>
    <w:p>
      <w:pPr>
        <w:rPr>
          <w:lang w:val="en-GB"/>
        </w:rPr>
      </w:pPr>
      <w:r>
        <w:rPr>
          <w:lang w:val="en-GB"/>
        </w:rPr>
        <w:t xml:space="preserve">The location, structure, names and basic characteristics of stops (IFOPT): </w:t>
      </w:r>
    </w:p>
    <w:p>
      <w:pPr>
        <w:rPr>
          <w:lang w:val="en-GB"/>
        </w:rPr>
      </w:pPr>
      <w:r>
        <w:rPr>
          <w:lang w:val="en-GB"/>
        </w:rPr>
        <w:t>The connection between Service operators for the exchange of real-time data (SIRI subscriber model; for a general and wide scale data provision SIRI seems not efficient (yet).)</w:t>
      </w:r>
    </w:p>
    <w:p>
      <w:pPr>
        <w:rPr>
          <w:lang w:val="en-GB"/>
        </w:rPr>
      </w:pPr>
      <w:r>
        <w:rPr>
          <w:lang w:val="en-GB"/>
        </w:rPr>
        <w:t xml:space="preserve">The static or semi-static data on time-tables, incl. Hours of operation, network topology (not topography), advance cancellations etc.  (NEtex, however not yet widely adopted, needs some time still, we opt for a mandatory status in 2019 the earliest) </w:t>
      </w:r>
    </w:p>
    <w:p>
      <w:pPr>
        <w:rPr>
          <w:u w:val="single"/>
          <w:lang w:val="en-GB"/>
        </w:rPr>
      </w:pPr>
      <w:r>
        <w:rPr>
          <w:u w:val="single"/>
          <w:lang w:val="en-GB"/>
        </w:rPr>
        <w:t xml:space="preserve">The following areas, </w:t>
      </w:r>
      <w:r>
        <w:rPr>
          <w:u w:val="single"/>
          <w:lang w:val="en-GB"/>
        </w:rPr>
        <w:t>although relevant</w:t>
      </w:r>
      <w:r>
        <w:rPr>
          <w:u w:val="single"/>
          <w:lang w:val="en-GB"/>
        </w:rPr>
        <w:t>,</w:t>
      </w:r>
      <w:r>
        <w:rPr>
          <w:u w:val="single"/>
          <w:lang w:val="en-GB"/>
        </w:rPr>
        <w:t xml:space="preserve"> </w:t>
      </w:r>
      <w:r>
        <w:rPr>
          <w:u w:val="single"/>
          <w:lang w:val="en-GB"/>
        </w:rPr>
        <w:t>seem to lack suitable standards yet</w:t>
      </w:r>
    </w:p>
    <w:p>
      <w:pPr>
        <w:rPr>
          <w:lang w:val="en-GB"/>
        </w:rPr>
      </w:pPr>
      <w:r>
        <w:rPr>
          <w:lang w:val="en-GB"/>
        </w:rPr>
        <w:t>The interconnection of existing information services</w:t>
      </w:r>
      <w:r>
        <w:rPr>
          <w:lang w:val="en-GB"/>
        </w:rPr>
        <w:t xml:space="preserve"> (here we propose speeding up the standardisation since the standard is particularly urgent)</w:t>
      </w:r>
    </w:p>
    <w:p>
      <w:pPr>
        <w:rPr>
          <w:lang w:val="en-GB"/>
        </w:rPr>
      </w:pPr>
      <w:r>
        <w:rPr>
          <w:lang w:val="en-GB"/>
        </w:rPr>
        <w:t>The accessibility of public transport nodes to passengers with restricted mobility (enlarged stop information, accessibility of nodes and equipment of vehicles)</w:t>
      </w:r>
    </w:p>
    <w:p>
      <w:pPr>
        <w:rPr>
          <w:lang w:val="en-GB"/>
        </w:rPr>
      </w:pPr>
      <w:r>
        <w:rPr>
          <w:lang w:val="en-GB"/>
        </w:rPr>
        <w:t xml:space="preserve">Information about ticketing, fare structures, payment methods etc.  </w:t>
      </w:r>
    </w:p>
    <w:p>
      <w:pPr>
        <w:rPr>
          <w:lang w:val="en-GB"/>
        </w:rPr>
      </w:pPr>
      <w:r>
        <w:rPr>
          <w:lang w:val="en-GB"/>
        </w:rPr>
        <w:t>Infrastructure for bicycles (cycle network attributes, dedicated lanes, secure bike parking)</w:t>
      </w:r>
    </w:p>
    <w:p>
      <w:pPr>
        <w:rPr>
          <w:u w:val="single"/>
          <w:lang w:val="en-GB"/>
        </w:rPr>
      </w:pPr>
      <w:r>
        <w:rPr>
          <w:u w:val="single"/>
          <w:lang w:val="en-GB"/>
        </w:rPr>
        <w:t>The following areas lack both competence by public bodies and mature standards:</w:t>
      </w:r>
    </w:p>
    <w:p>
      <w:pPr>
        <w:rPr>
          <w:lang w:val="en-GB"/>
        </w:rPr>
      </w:pPr>
      <w:r>
        <w:rPr>
          <w:lang w:val="en-GB"/>
        </w:rPr>
        <w:t>Car –sharing availability, bike-sharing availability and conditions, etc.</w:t>
      </w:r>
    </w:p>
    <w:p>
      <w:pPr>
        <w:rPr>
          <w:lang w:val="en-GB"/>
        </w:rPr>
      </w:pPr>
      <w:r>
        <w:rPr>
          <w:lang w:val="en-GB"/>
        </w:rPr>
        <w:t>How to book these services</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rPr>
          <w:lang w:val="en-GB"/>
        </w:rPr>
      </w:pPr>
      <w:r>
        <w:rPr>
          <w:rStyle w:val="Funotenzeichen"/>
        </w:rPr>
        <w:footnoteRef/>
      </w:r>
      <w:r>
        <w:rPr>
          <w:lang w:val="en-GB"/>
        </w:rPr>
        <w:t xml:space="preserve"> In specification B, which is closest to the topic at hand, DATEX II has been stipulated as mandatory.</w:t>
      </w:r>
      <w:r>
        <w:rPr>
          <w:highlight w:val="yellow"/>
          <w:lang w:val="en-GB"/>
        </w:rPr>
        <w:t xml:space="preserve"> </w:t>
      </w:r>
      <w:r>
        <w:rPr>
          <w:lang w:val="en-GB"/>
        </w:rPr>
        <w:t>DATEX II is a standard that can be profiled and applied in a flexible way. The adoption of DATEX II to be used in the regulations by the EC has in turn supported the uptake of the standard, also on national level.</w:t>
      </w:r>
    </w:p>
    <w:p>
      <w:pPr>
        <w:pStyle w:val="Funoten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31813"/>
    <w:multiLevelType w:val="hybridMultilevel"/>
    <w:tmpl w:val="818C418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B3341B"/>
    <w:multiLevelType w:val="hybridMultilevel"/>
    <w:tmpl w:val="69229E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1F73D-4A97-447C-BB83-ADA6AECD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821C-FF0D-4DCE-AE7E-09510222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77DE2A8E.dotm</Template>
  <TotalTime>0</TotalTime>
  <Pages>2</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Ministerium des Innern, für Sport und Infrastruktur</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Dölger, Reiner (ISIM)</dc:creator>
  <cp:lastModifiedBy>Dölger, Reiner (ISIM)</cp:lastModifiedBy>
  <cp:revision>4</cp:revision>
  <dcterms:created xsi:type="dcterms:W3CDTF">2016-01-26T13:49:00Z</dcterms:created>
  <dcterms:modified xsi:type="dcterms:W3CDTF">2016-01-26T16:37:00Z</dcterms:modified>
</cp:coreProperties>
</file>